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6695" w14:textId="77777777" w:rsidR="00A45E0D" w:rsidRDefault="00A45E0D" w:rsidP="00A45E0D">
      <w:r>
        <w:t>A reneszánsz fogalmának problematikája a XVII. század vonatkozásában</w:t>
      </w:r>
    </w:p>
    <w:p w14:paraId="412951EC" w14:textId="77777777" w:rsidR="00A45E0D" w:rsidRDefault="00A45E0D" w:rsidP="00A45E0D"/>
    <w:p w14:paraId="6938A4DF" w14:textId="77777777" w:rsidR="00A45E0D" w:rsidRDefault="00A45E0D" w:rsidP="00A45E0D">
      <w:r>
        <w:t>A reneszánsz művészet a kora újkor esztétikai és filozófiai áramlataiban gyökerezik, mely egyszerre hordoz innovatív és retrospektív jegyeket. A középkor transzcendens, Isten-központú, hierarchikus világképétől elfordulva emberközpontú, világi látásmódot képvisel, ugyanakkor történeti és filozófiai legitimációját az ókori görög–római kultúrában, saját feltételezett szellemi gyökereiben találja meg. Erre utal maga a „renaissance” (újjászületés) kifejezés is.</w:t>
      </w:r>
    </w:p>
    <w:p w14:paraId="3D19EC8F" w14:textId="77777777" w:rsidR="00A45E0D" w:rsidRDefault="00A45E0D" w:rsidP="00A45E0D"/>
    <w:p w14:paraId="2694F2DB" w14:textId="77777777" w:rsidR="00A45E0D" w:rsidRDefault="00A45E0D" w:rsidP="00A45E0D">
      <w:r>
        <w:t>A reneszánsz szigorú értelemben a középkor végétől, a XV. század végétől a barokk stílus 1600 körüli kialakulásáig terjedő időszakra vonatkoztatható. Ez egybeesik a reformáció, az oszmán terjeszkedés és a nagy földrajzi felfedezések korszakával, melyek gazdasági, politikai és kulturális értelemben egyaránt globális átrendeződést eredményeztek.</w:t>
      </w:r>
    </w:p>
    <w:p w14:paraId="3B358B48" w14:textId="77777777" w:rsidR="00A45E0D" w:rsidRDefault="00A45E0D" w:rsidP="00A45E0D"/>
    <w:p w14:paraId="102D2D30" w14:textId="79F5436D" w:rsidR="00A45E0D" w:rsidRDefault="00A45E0D" w:rsidP="00A45E0D">
      <w:r>
        <w:t xml:space="preserve">Az orgona fejlődése szempontjából a reneszánsz korszak meghatározó jelentőségű. Ekkor alakul ki az a változatos hangszínvilág, amely a hangszer mai napig alapvető sajátossága. A gótikus orgonatípust meghaladva nem csupán az egyes sípsorok szabadabb kombinálhatósága jelenik meg, hanem nagyszámban világi hangszereket imitáló regiszterek is: furulyák, fuvolák, nádnyelves fúvósok, kornettek, később </w:t>
      </w:r>
      <w:r>
        <w:t xml:space="preserve">rézfúvósok és </w:t>
      </w:r>
      <w:r>
        <w:t>vonós karakterű hangszínek. Ezekhez társulnak az úgynevezett aliquotregiszterek, melyek meghatározott oktáv-, kvint- és tercfelhangok hozzáadásával finomítják a hangszínt.</w:t>
      </w:r>
    </w:p>
    <w:p w14:paraId="302B50B9" w14:textId="77777777" w:rsidR="00A45E0D" w:rsidRDefault="00A45E0D" w:rsidP="00A45E0D"/>
    <w:p w14:paraId="08C48B39" w14:textId="77777777" w:rsidR="00A45E0D" w:rsidRDefault="00A45E0D" w:rsidP="00A45E0D">
      <w:r>
        <w:t>Ugyancsak e korszak hozza létre az orgona ún. „művekre” tagolt szerkezetét: két, egymástól elkülönülő orgonaegység (manuálmű) jelenik meg, amelyeket külön billentyűzetről lehet megszólaltatni. Az alsó egység gyakran az orgonista háta mögött helyezkedik el, innen ered a hátpozitív (Rückpositiv) elnevezés.</w:t>
      </w:r>
    </w:p>
    <w:p w14:paraId="771DBE27" w14:textId="77777777" w:rsidR="00A45E0D" w:rsidRDefault="00A45E0D" w:rsidP="00A45E0D"/>
    <w:p w14:paraId="4B14E411" w14:textId="77777777" w:rsidR="00A45E0D" w:rsidRDefault="00A45E0D" w:rsidP="00A45E0D">
      <w:r>
        <w:t>A XVI. század legjelentősebb újításai a gazdaságilag és kulturálisan is virágzó franko–flamand területeken, a történelmi Flandriában jelentkeznek a legkorábban. Ez a fejlődés az 1500-as évek elejétől legalább másfél évszázadon átívelő folyamat, amely – Itália kivételével – gyorsan és mélyrehatóan befolyásolja Európa orgonaépítészetét. Hatása különösen erősen érvényesül az Ibériai-félszigeten, Franciaországban, Hollandiában, a Hanza-városokban, Észak-Európában és a Baltikumban. Dél felé haladva e hatás egyre közvetettebbé válik, miközben Itália konzervatív hagyományőrzése egyre markánsabban érzékelhető.</w:t>
      </w:r>
    </w:p>
    <w:p w14:paraId="7B7E2A6D" w14:textId="77777777" w:rsidR="00A45E0D" w:rsidRDefault="00A45E0D" w:rsidP="00A45E0D"/>
    <w:p w14:paraId="3048133F" w14:textId="5B5D2118" w:rsidR="00A45E0D" w:rsidRDefault="00A45E0D" w:rsidP="00A45E0D">
      <w:r>
        <w:t>A XVII. századi történelmi Magyarország orgonakultúrája regionálisan jól elkülöníthető képet mutat. Egyes területeken az északi, „észak-német” vagy flamand hatások dominálnak, míg máshol az osztrák–olasz tradíciók érvényesülnek. Az északi hatás elsősorban Lengyelország közvetítésével jut el a Kárpát-medencébe. Ennek különösen szemléletes példája az olkuszi plébániatemplom 1615-</w:t>
      </w:r>
      <w:r>
        <w:t>től</w:t>
      </w:r>
      <w:r>
        <w:t xml:space="preserve"> épült Hummel-orgonája, melynek egykori ikerpárja a lőcsei Szent Jakab-templomban állt.</w:t>
      </w:r>
    </w:p>
    <w:p w14:paraId="684C72E0" w14:textId="77777777" w:rsidR="00A45E0D" w:rsidRDefault="00A45E0D" w:rsidP="00A45E0D"/>
    <w:tbl>
      <w:tblPr>
        <w:tblW w:w="0" w:type="auto"/>
        <w:tblCellMar>
          <w:top w:w="15" w:type="dxa"/>
          <w:left w:w="15" w:type="dxa"/>
          <w:bottom w:w="15" w:type="dxa"/>
          <w:right w:w="15" w:type="dxa"/>
        </w:tblCellMar>
        <w:tblLook w:val="04A0" w:firstRow="1" w:lastRow="0" w:firstColumn="1" w:lastColumn="0" w:noHBand="0" w:noVBand="1"/>
      </w:tblPr>
      <w:tblGrid>
        <w:gridCol w:w="1881"/>
        <w:gridCol w:w="1733"/>
        <w:gridCol w:w="1598"/>
      </w:tblGrid>
      <w:tr w:rsidR="00A45E0D" w:rsidRPr="00A45E0D" w14:paraId="429DE0DB" w14:textId="77777777" w:rsidTr="00A45E0D">
        <w:tc>
          <w:tcPr>
            <w:tcW w:w="0" w:type="auto"/>
            <w:tcMar>
              <w:top w:w="48" w:type="dxa"/>
              <w:left w:w="96" w:type="dxa"/>
              <w:bottom w:w="48" w:type="dxa"/>
              <w:right w:w="96" w:type="dxa"/>
            </w:tcMar>
            <w:vAlign w:val="center"/>
            <w:hideMark/>
          </w:tcPr>
          <w:p w14:paraId="1855B51A" w14:textId="77777777" w:rsidR="00A45E0D" w:rsidRPr="00A45E0D" w:rsidRDefault="00A45E0D" w:rsidP="00A45E0D">
            <w:pPr>
              <w:rPr>
                <w:b/>
                <w:bCs/>
              </w:rPr>
            </w:pPr>
            <w:r w:rsidRPr="00A45E0D">
              <w:rPr>
                <w:b/>
                <w:bCs/>
              </w:rPr>
              <w:lastRenderedPageBreak/>
              <w:t>Manuał I</w:t>
            </w:r>
            <w:r w:rsidRPr="00A45E0D">
              <w:rPr>
                <w:b/>
                <w:bCs/>
              </w:rPr>
              <w:br/>
            </w:r>
            <w:r w:rsidRPr="00A45E0D">
              <w:rPr>
                <w:b/>
                <w:bCs/>
                <w:i/>
                <w:iCs/>
              </w:rPr>
              <w:t>Hauptwerk</w:t>
            </w:r>
          </w:p>
        </w:tc>
        <w:tc>
          <w:tcPr>
            <w:tcW w:w="0" w:type="auto"/>
            <w:tcMar>
              <w:top w:w="48" w:type="dxa"/>
              <w:left w:w="96" w:type="dxa"/>
              <w:bottom w:w="48" w:type="dxa"/>
              <w:right w:w="96" w:type="dxa"/>
            </w:tcMar>
            <w:vAlign w:val="center"/>
            <w:hideMark/>
          </w:tcPr>
          <w:p w14:paraId="2B115607" w14:textId="77777777" w:rsidR="00A45E0D" w:rsidRPr="00A45E0D" w:rsidRDefault="00A45E0D" w:rsidP="00A45E0D">
            <w:pPr>
              <w:rPr>
                <w:b/>
                <w:bCs/>
              </w:rPr>
            </w:pPr>
            <w:r w:rsidRPr="00A45E0D">
              <w:rPr>
                <w:b/>
                <w:bCs/>
              </w:rPr>
              <w:t>Manuał II</w:t>
            </w:r>
            <w:r w:rsidRPr="00A45E0D">
              <w:rPr>
                <w:b/>
                <w:bCs/>
              </w:rPr>
              <w:br/>
            </w:r>
            <w:r w:rsidRPr="00A45E0D">
              <w:rPr>
                <w:b/>
                <w:bCs/>
                <w:i/>
                <w:iCs/>
              </w:rPr>
              <w:t>Rückpositiv</w:t>
            </w:r>
          </w:p>
        </w:tc>
        <w:tc>
          <w:tcPr>
            <w:tcW w:w="0" w:type="auto"/>
            <w:tcMar>
              <w:top w:w="48" w:type="dxa"/>
              <w:left w:w="96" w:type="dxa"/>
              <w:bottom w:w="48" w:type="dxa"/>
              <w:right w:w="96" w:type="dxa"/>
            </w:tcMar>
            <w:vAlign w:val="center"/>
            <w:hideMark/>
          </w:tcPr>
          <w:p w14:paraId="531E0B21" w14:textId="77777777" w:rsidR="00A45E0D" w:rsidRPr="00A45E0D" w:rsidRDefault="00A45E0D" w:rsidP="00A45E0D">
            <w:pPr>
              <w:rPr>
                <w:b/>
                <w:bCs/>
              </w:rPr>
            </w:pPr>
            <w:r w:rsidRPr="00A45E0D">
              <w:rPr>
                <w:b/>
                <w:bCs/>
              </w:rPr>
              <w:t>Pedał</w:t>
            </w:r>
            <w:r w:rsidRPr="00A45E0D">
              <w:rPr>
                <w:b/>
                <w:bCs/>
              </w:rPr>
              <w:br/>
            </w:r>
            <w:r w:rsidRPr="00A45E0D">
              <w:rPr>
                <w:b/>
                <w:bCs/>
                <w:i/>
                <w:iCs/>
              </w:rPr>
              <w:t>Pedalwerk</w:t>
            </w:r>
          </w:p>
        </w:tc>
      </w:tr>
      <w:tr w:rsidR="00A45E0D" w:rsidRPr="00A45E0D" w14:paraId="40F98843" w14:textId="77777777" w:rsidTr="00A45E0D">
        <w:tc>
          <w:tcPr>
            <w:tcW w:w="0" w:type="auto"/>
            <w:tcMar>
              <w:top w:w="48" w:type="dxa"/>
              <w:left w:w="96" w:type="dxa"/>
              <w:bottom w:w="48" w:type="dxa"/>
              <w:right w:w="96" w:type="dxa"/>
            </w:tcMar>
            <w:hideMark/>
          </w:tcPr>
          <w:p w14:paraId="3DC812AB" w14:textId="77777777" w:rsidR="00A45E0D" w:rsidRPr="00A45E0D" w:rsidRDefault="00A45E0D" w:rsidP="00A45E0D">
            <w:r w:rsidRPr="00A45E0D">
              <w:t>Principał 8′</w:t>
            </w:r>
            <w:r w:rsidRPr="00A45E0D">
              <w:br/>
              <w:t>Fleit wielki 8′</w:t>
            </w:r>
            <w:r w:rsidRPr="00A45E0D">
              <w:br/>
              <w:t>Salicinał 8′</w:t>
            </w:r>
            <w:r w:rsidRPr="00A45E0D">
              <w:br/>
              <w:t>Octawa 4′</w:t>
            </w:r>
            <w:r w:rsidRPr="00A45E0D">
              <w:br/>
              <w:t>Fleit octawnÿ 4′</w:t>
            </w:r>
            <w:r w:rsidRPr="00A45E0D">
              <w:br/>
              <w:t>Spilfleit octawnÿ 4′</w:t>
            </w:r>
            <w:r w:rsidRPr="00A45E0D">
              <w:br/>
              <w:t>Quinta 3′</w:t>
            </w:r>
            <w:r w:rsidRPr="00A45E0D">
              <w:br/>
              <w:t>Quindecima 2′</w:t>
            </w:r>
            <w:r w:rsidRPr="00A45E0D">
              <w:br/>
              <w:t>Gembshorn 2′</w:t>
            </w:r>
            <w:r w:rsidRPr="00A45E0D">
              <w:br/>
              <w:t>Mixtura VII 2′</w:t>
            </w:r>
            <w:r w:rsidRPr="00A45E0D">
              <w:br/>
              <w:t>Cymbał V</w:t>
            </w:r>
            <w:r w:rsidRPr="00A45E0D">
              <w:br/>
              <w:t>Puzan 8′</w:t>
            </w:r>
          </w:p>
        </w:tc>
        <w:tc>
          <w:tcPr>
            <w:tcW w:w="0" w:type="auto"/>
            <w:tcMar>
              <w:top w:w="48" w:type="dxa"/>
              <w:left w:w="96" w:type="dxa"/>
              <w:bottom w:w="48" w:type="dxa"/>
              <w:right w:w="96" w:type="dxa"/>
            </w:tcMar>
            <w:hideMark/>
          </w:tcPr>
          <w:p w14:paraId="3F80ED2F" w14:textId="77777777" w:rsidR="00A45E0D" w:rsidRPr="00A45E0D" w:rsidRDefault="00A45E0D" w:rsidP="00A45E0D">
            <w:r w:rsidRPr="00A45E0D">
              <w:t>Principał 4′</w:t>
            </w:r>
            <w:r w:rsidRPr="00A45E0D">
              <w:br/>
              <w:t>Quinathena 8′</w:t>
            </w:r>
            <w:r w:rsidRPr="00A45E0D">
              <w:br/>
              <w:t>Fleit octawnÿ 4′</w:t>
            </w:r>
            <w:r w:rsidRPr="00A45E0D">
              <w:br/>
              <w:t>Octawa 2′</w:t>
            </w:r>
            <w:r w:rsidRPr="00A45E0D">
              <w:br/>
              <w:t>Flecik mniejszÿ 2′</w:t>
            </w:r>
            <w:r w:rsidRPr="00A45E0D">
              <w:br/>
              <w:t>Scadek 1′</w:t>
            </w:r>
            <w:r w:rsidRPr="00A45E0D">
              <w:br/>
              <w:t>Mixtura III 1′</w:t>
            </w:r>
            <w:r w:rsidRPr="00A45E0D">
              <w:br/>
              <w:t>Cymbał III</w:t>
            </w:r>
            <w:r w:rsidRPr="00A45E0D">
              <w:br/>
              <w:t>Komport 8′</w:t>
            </w:r>
            <w:r w:rsidRPr="00A45E0D">
              <w:br/>
              <w:t>Sałamaia 4′</w:t>
            </w:r>
          </w:p>
        </w:tc>
        <w:tc>
          <w:tcPr>
            <w:tcW w:w="0" w:type="auto"/>
            <w:tcMar>
              <w:top w:w="48" w:type="dxa"/>
              <w:left w:w="96" w:type="dxa"/>
              <w:bottom w:w="48" w:type="dxa"/>
              <w:right w:w="96" w:type="dxa"/>
            </w:tcMar>
            <w:hideMark/>
          </w:tcPr>
          <w:p w14:paraId="5017ED5A" w14:textId="77777777" w:rsidR="00A45E0D" w:rsidRPr="00A45E0D" w:rsidRDefault="00A45E0D" w:rsidP="00A45E0D">
            <w:r w:rsidRPr="00A45E0D">
              <w:t>Principał 16′</w:t>
            </w:r>
            <w:r w:rsidRPr="00A45E0D">
              <w:br/>
              <w:t>Octawa 8′</w:t>
            </w:r>
            <w:r w:rsidRPr="00A45E0D">
              <w:br/>
              <w:t>Fleit wielki 8′</w:t>
            </w:r>
            <w:r w:rsidRPr="00A45E0D">
              <w:br/>
              <w:t>Quinta 6′</w:t>
            </w:r>
            <w:r w:rsidRPr="00A45E0D">
              <w:br/>
              <w:t>Quindecima 4′</w:t>
            </w:r>
            <w:r w:rsidRPr="00A45E0D">
              <w:br/>
              <w:t>Fleit octawnÿ 4′</w:t>
            </w:r>
            <w:r w:rsidRPr="00A45E0D">
              <w:br/>
              <w:t>Mixtura VI 4′</w:t>
            </w:r>
            <w:r w:rsidRPr="00A45E0D">
              <w:br/>
              <w:t>Pomorth 16′</w:t>
            </w:r>
            <w:r w:rsidRPr="00A45E0D">
              <w:br/>
              <w:t>Cornet </w:t>
            </w:r>
          </w:p>
        </w:tc>
      </w:tr>
    </w:tbl>
    <w:p w14:paraId="58171EFE" w14:textId="77777777" w:rsidR="00A45E0D" w:rsidRDefault="00A45E0D" w:rsidP="00A45E0D"/>
    <w:p w14:paraId="0A0CDE94" w14:textId="77777777" w:rsidR="00A45E0D" w:rsidRDefault="00A45E0D" w:rsidP="00A45E0D">
      <w:r>
        <w:t>A hangszer felépítése és regiszterállománya egyértelműen flamand karaktert mutat. A gazdagon felszerelt hátpozitív, az önálló pedálmű, a félfödött Rohrflöték, a főmű és a pedálmű tölcséres, teljes rezonátorú trombitái, valamint a pozitívmű cilindrikus Krummhornja mind szoros rokonságot mutatnak az atlanti és az észak-német orgonatípusokkal, egészen a XVIII. századig. Különösen figyelemre méltó a kvint- és oktávfekvésű aliquotok jelenléte, melyek a reneszánsz hangzásesztétika meghatározó elemei.</w:t>
      </w:r>
    </w:p>
    <w:p w14:paraId="2AC38140" w14:textId="77777777" w:rsidR="00A45E0D" w:rsidRDefault="00A45E0D" w:rsidP="00A45E0D"/>
    <w:p w14:paraId="2942318B" w14:textId="39E3E338" w:rsidR="00A45E0D" w:rsidRDefault="00A45E0D" w:rsidP="00A45E0D">
      <w:r>
        <w:t xml:space="preserve">A „reneszánsz” terminológia alkalmazása </w:t>
      </w:r>
      <w:r>
        <w:t>itt</w:t>
      </w:r>
      <w:r>
        <w:t xml:space="preserve"> magyarázatra szorul, mivel a vizsgált orgonák túlnyomó többsége – így az olkuszi Hummel-orgona is – már a XVII. század terméke. Ennek ellenére a reneszánsz megjelölés több szempontból is indokoltabb, mint a barokk. Az orgona reneszánsz kori átalakulásának folyamata ugyanis nem zárul le 1600 körül, hanem átnyúlik a XVII. századba. Ezt az egy–másfél évszázados fejlődési ívet sem a századforduló, sem a korszak jelentős történelmi és esztétikai változásai nem törik meg.</w:t>
      </w:r>
    </w:p>
    <w:p w14:paraId="6B736B4C" w14:textId="77777777" w:rsidR="00A45E0D" w:rsidRDefault="00A45E0D" w:rsidP="00A45E0D"/>
    <w:p w14:paraId="45E83F97" w14:textId="477FB003" w:rsidR="00A45E0D" w:rsidRDefault="00A45E0D" w:rsidP="00A45E0D">
      <w:r>
        <w:t>A hangszer fejlődése alapvetően a humanizmus és a reformáció szellemi közegében zajlik, miközben a Kárpát-medence politikai és gazdasági viszonyai jelentősen lassítják a nyugati centrumokhoz való felzárkózást. Erdély és Felső-Magyarország ebben az időszakban</w:t>
      </w:r>
      <w:r>
        <w:t xml:space="preserve"> az oszmán birodalom árnyékában létező</w:t>
      </w:r>
      <w:r>
        <w:t xml:space="preserve"> konzervatív </w:t>
      </w:r>
      <w:r>
        <w:t xml:space="preserve">nyugati </w:t>
      </w:r>
      <w:r>
        <w:t>provinciának tekinthető, ami az épített örökségben is világosan tükröződik. A XVII. század számos jelentős magyarországi emléke nem barokk, hanem reneszánsz jellegű, mint például a sárospataki Lorántffy-loggia (1646) vagy a bethlenszentmiklósi Bethlen-kastély (1667–1683).</w:t>
      </w:r>
    </w:p>
    <w:p w14:paraId="79DC5CCB" w14:textId="77777777" w:rsidR="00A45E0D" w:rsidRDefault="00A45E0D" w:rsidP="00A45E0D"/>
    <w:p w14:paraId="15E0C8E4" w14:textId="77777777" w:rsidR="00A45E0D" w:rsidRDefault="00A45E0D" w:rsidP="00A45E0D">
      <w:r>
        <w:t>Az orgonaépítészetben még a XVIII. század folyamán is gyakran tetten érhetők a reneszánsz gyökerek. A régió provinciális, gazdaságilag elmaradott jellege miatt jellemzően kisebb hangszerek épültek, melyek szerény hangképe, korlátozott hangterjedelme és egyszerű szerkezete alig különbözött egy évszázaddal korábbi elődeikétől. Sok esetben csupán az orgonaház formavilága vagy díszítése nyújt biztos támpontot a kronológiai besoroláshoz.</w:t>
      </w:r>
    </w:p>
    <w:p w14:paraId="6B879117" w14:textId="77777777" w:rsidR="00A45E0D" w:rsidRDefault="00A45E0D" w:rsidP="00A45E0D"/>
    <w:p w14:paraId="4AD61D62" w14:textId="77777777" w:rsidR="00A45E0D" w:rsidRDefault="00A45E0D" w:rsidP="00A45E0D">
      <w:r>
        <w:t>Ebben az értelemben a XVII. századi Erdély és a Királyi Magyarország orgonáit többnyire joggal nevezhetjük reneszánsz hangszereknek, jóllehet Nyugat-Európában ekkorra a barokk művészet már virágkorát éli. Az orgonaházak tekintetében a Kárpát-medence nyugati felén szintén a reneszánsz megjelölés tűnik találónak (például az 1633-as soproni Wöckherl-orgona esetében), míg északon inkább az északi manierizmus dominál. A század végéhez közeledve az akantusz-díszítés elterjedése (például a lőcsei evangélikus templom 1697-es orgonaháza) már a barokk tisztább formavilágának, vagyis a XVIII. század eleji hazai ízlésnek az előfutárát jelzi.</w:t>
      </w:r>
    </w:p>
    <w:p w14:paraId="13322686" w14:textId="77777777" w:rsidR="00A45E0D" w:rsidRDefault="00A45E0D" w:rsidP="00A45E0D"/>
    <w:p w14:paraId="1A54F1B1" w14:textId="05FCA811" w:rsidR="00DE2176" w:rsidRPr="00A45E0D" w:rsidRDefault="00A45E0D" w:rsidP="00A45E0D">
      <w:r>
        <w:t>A kor magyarországi és erdélyi orgonarepertoárja rendkívül heterogén. Ennek legjobb lenyomatát a XVII. század közepéről származó Kájoni-kódex nyújtja, mely túlnyomórészt XVI–XVII. századi nyugati kompozíciók intavolációit tartalmazza. A gyűjteményben Lassus, Viadana és Monteverdi művei éppúgy megtalálhatók, mint modális, kontrapunktikus darabok és tonális, generálbasszus-alapú tételek. Így nem csupán a kódex, hanem általában a korszak teljes előadói gyakorlata is stilárisan „lebegő”, nehezen egyetlen kategóriába sorolható.</w:t>
      </w:r>
    </w:p>
    <w:sectPr w:rsidR="00DE2176" w:rsidRPr="00A45E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C3"/>
    <w:rsid w:val="000E4EEF"/>
    <w:rsid w:val="001D235A"/>
    <w:rsid w:val="001F59A3"/>
    <w:rsid w:val="00340682"/>
    <w:rsid w:val="00394AAF"/>
    <w:rsid w:val="003D380E"/>
    <w:rsid w:val="005278B6"/>
    <w:rsid w:val="00531AB1"/>
    <w:rsid w:val="00607B89"/>
    <w:rsid w:val="0067760C"/>
    <w:rsid w:val="007C7375"/>
    <w:rsid w:val="007F2AE7"/>
    <w:rsid w:val="008018ED"/>
    <w:rsid w:val="0096281C"/>
    <w:rsid w:val="00995FE4"/>
    <w:rsid w:val="00A00250"/>
    <w:rsid w:val="00A149C3"/>
    <w:rsid w:val="00A45E0D"/>
    <w:rsid w:val="00DE21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77E59"/>
  <w15:chartTrackingRefBased/>
  <w15:docId w15:val="{8C6058CD-F446-48F7-A2C2-28FC600E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807">
      <w:bodyDiv w:val="1"/>
      <w:marLeft w:val="0"/>
      <w:marRight w:val="0"/>
      <w:marTop w:val="0"/>
      <w:marBottom w:val="0"/>
      <w:divBdr>
        <w:top w:val="none" w:sz="0" w:space="0" w:color="auto"/>
        <w:left w:val="none" w:sz="0" w:space="0" w:color="auto"/>
        <w:bottom w:val="none" w:sz="0" w:space="0" w:color="auto"/>
        <w:right w:val="none" w:sz="0" w:space="0" w:color="auto"/>
      </w:divBdr>
    </w:div>
    <w:div w:id="1552694442">
      <w:bodyDiv w:val="1"/>
      <w:marLeft w:val="0"/>
      <w:marRight w:val="0"/>
      <w:marTop w:val="0"/>
      <w:marBottom w:val="0"/>
      <w:divBdr>
        <w:top w:val="none" w:sz="0" w:space="0" w:color="auto"/>
        <w:left w:val="none" w:sz="0" w:space="0" w:color="auto"/>
        <w:bottom w:val="none" w:sz="0" w:space="0" w:color="auto"/>
        <w:right w:val="none" w:sz="0" w:space="0" w:color="auto"/>
      </w:divBdr>
    </w:div>
    <w:div w:id="177104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827</Words>
  <Characters>5709</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Homolya Dávid</dc:creator>
  <cp:keywords/>
  <dc:description/>
  <cp:lastModifiedBy>Homolya Dávid</cp:lastModifiedBy>
  <cp:revision>5</cp:revision>
  <dcterms:created xsi:type="dcterms:W3CDTF">2025-12-14T23:55:00Z</dcterms:created>
  <dcterms:modified xsi:type="dcterms:W3CDTF">2025-12-18T02:15:00Z</dcterms:modified>
</cp:coreProperties>
</file>